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2" w:rsidRPr="00EC5942" w:rsidRDefault="00EC5942" w:rsidP="00EC5942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Корректировка генерального плана муниципального образования сельского поселения «Койгородок»</w:t>
      </w:r>
    </w:p>
    <w:bookmarkEnd w:id="0"/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генерального плана муниципального образования сельского поселения «Койгородок» (далее Генеральный план) выполнена в соответствии с муниципальным контрактом от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22.06.2011 № 0107300005811000002-0197082-02, заключенным с администрацией сельского поселения «Койгородок» муниципального района «Койгородский», и заданием к нему,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градорегулирующего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градостроительного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документа,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решающего социально-экономические и архитектурно-планировочные, экологические, инженерные и транспортные проблемы жизнедеятельности населенного пункта и направленного на создание благоприятной среды обитания.</w:t>
      </w:r>
      <w:proofErr w:type="gramEnd"/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Генеральный план разработан на следующие проектные периоды: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этап (первая очередь строительства) до </w:t>
      </w:r>
      <w:smartTag w:uri="urn:schemas-microsoft-com:office:smarttags" w:element="metricconverter">
        <w:smartTagPr>
          <w:attr w:name="ProductID" w:val="2018 г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этап (расчетный срок Генерального плана) до </w:t>
      </w:r>
      <w:smartTag w:uri="urn:schemas-microsoft-com:office:smarttags" w:element="metricconverter">
        <w:smartTagPr>
          <w:attr w:name="ProductID" w:val="2032 г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2032 г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Генеральный план муниципального образования сельского поселения «Койгородок» состоит из двух частей:</w:t>
      </w:r>
    </w:p>
    <w:p w:rsidR="00EC5942" w:rsidRPr="00EC5942" w:rsidRDefault="00EC5942" w:rsidP="00EC594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Утверждаемой части, включающей Положение о территориальном планировании, карту планируемого размещения объектов местного значения поселения, карту границ населенных пунктов, входящих в состав поселения, карту функциональных зон поселения.</w:t>
      </w:r>
    </w:p>
    <w:p w:rsidR="00EC5942" w:rsidRPr="00EC5942" w:rsidRDefault="00EC5942" w:rsidP="00EC5942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Материалов по обоснованию проекта генерального плана, включающих пояснительную записку и тематические карты, иллюстрирующие констатирующую, аналитическую, прогнозную и проектную части генерального плана.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согласно заданию на корректировку генерального плана, разработана компьютерная геоинформационная система в программе 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MapInfo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, содержащая цифровые тематические слои и соответствующие семантические базы данных к каждому картографическому объекту. Тематические слои, относящиеся к территории поселения, выполнены в проекции СК63 (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5). Слои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относяшиеся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к территории населенного пункта (с. Койгородок), – в проекции карта (схема).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Положение о территориальном планировании Генерального плана разработано в соответствии с частями 3 – 5 ст. 23 Градостроительного кодекса РФ.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В Генеральном плане определены основные параметры развития сельского поселения: перспективная численность населения, объемы жилищного строительства,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направления развития транспортной и инженерной инфраструктуры. В проекте выполнено зонирование территории сельского поселения с выделением жилых, общественно-деловых, производственных, рекреационных зон, территорий для развития других функций сельского комплекса. Планировочные решения Генерального плана являются основой для разработки проектной документации последующих уровней, а также программ, осуществление которых необходимо для успешного функционирования различных систем села.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Положение о территориальном планировании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59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1.1 Цели и задачи территориального планирования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Целью проекта Генерального плана является создание документа территориального планирования, направленного на создание современного эффективного инструмента управления, градостроительного регулирования, инвестиционной деятельности и ведения комплексного градостроительного мониторинга на территории сельского поселения «Койгородок», входящего в состав муниципального района «Койгородский», что предполагает создание благоприятной среды обитания на территории сельского поселения на основе принципов устойчивого развития, в соответствии с Градостроительным кодексом и Земельным кодексом Российской</w:t>
      </w:r>
      <w:proofErr w:type="gramEnd"/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Федерации.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Устойчивое развитие сельского поселения предполагает обеспечение существенного прогресса в развитии основных секторов экономики, повышение инвестиционной привлекательности территории, повышение уровня жизни и условий проживания сельского населения, достижение долговременной экологической безопасности на территории сельского поселения, рациональное использование всех видов ресурсов, современные методы организации транспортных и инженерных систем.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Задачи</w:t>
      </w: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Генерального плана конкретизировались по следующим направлениям: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1. Проведение комплексного планировочного анализа территории с целью выявления природно-ресурсного, демографического, экономического, историко-культурного потенциалов, выявление проблемных ситуаций и территорий, а также зон с особыми условиями использования территорий.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2. Разработка предложений по функциональному зонированию территории сельского поселения, назначению зон и режимов их содержания и использования.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3. Формирование предложений по сохранению и развитию природно-экологического каркаса и рациональному использованию природных ресурсов.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4. Прогнозирование базовых параметров развития территории: численности населения, объемов строительства и пр.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5. Основные направления развития производственного, агропромышленного комплексов.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6. Разработка предложений по развитию транспортной и инженерной инфраструктур.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7. Формирование предложений по восстановлению, сохранению и использованию объектов историко-культурного наследия.</w:t>
      </w:r>
    </w:p>
    <w:p w:rsidR="00EC5942" w:rsidRPr="00EC5942" w:rsidRDefault="00EC5942" w:rsidP="00EC5942">
      <w:pPr>
        <w:tabs>
          <w:tab w:val="left" w:pos="1080"/>
        </w:tabs>
        <w:spacing w:after="0" w:line="360" w:lineRule="auto"/>
        <w:ind w:left="57" w:right="57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Arial Unicode MS" w:hAnsi="Times New Roman" w:cs="Times New Roman"/>
          <w:sz w:val="24"/>
          <w:szCs w:val="24"/>
          <w:lang w:eastAsia="ru-RU"/>
        </w:rPr>
        <w:t>8. Мероприятия по защите от неблагоприятных природных и антропогенных процессов, чрезвычайных ситуаций.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Положение о территориальном планировании Генерального плана сельского поселения «Койгородок» в соответствии с Градостроительным кодексом РФ должно учитываться правилами землепользования и застройки (ст. 31, ч. 3) и служит основанием для подготовки документации по планировке территории (ст. 45, ч. 5). Генеральный план сельского поселения «Койгородок» является также основополагающим документом для разработки специализированных тематических программ и проектов, реализуемых на территории сельского поселения «Койгородок».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 П</w:t>
      </w: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мероприятий по территориальному планированию и последовательность их выполнения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 Развитие жилых зон. Новое жилищное строительство и реконструкция жилищного фонда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1. В течение расчетного срока жилищный фонд села планируется увеличить до 132 тыс. м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, что позволит увеличить среднюю жилищную обеспеченность с 23,22 до </w:t>
      </w:r>
      <w:smartTag w:uri="urn:schemas-microsoft-com:office:smarttags" w:element="metricconverter">
        <w:smartTagPr>
          <w:attr w:name="ProductID" w:val="30 м2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  <w:r w:rsidRPr="00EC594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общей площади на человека. Объем нового жилищного строительства составит порядка 66,2206 тыс. м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(среднегодовой объем нового жилищного строительства примерно 3,3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), что потребует значительного увеличения ежегодного объема строительства по сравнению с существующим в последние годы. Убыль жилищного фонда составит 10,35 тыс. м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2. Проектом принята следующая структура нового жилищного строительства:</w:t>
      </w:r>
    </w:p>
    <w:p w:rsidR="00EC5942" w:rsidRPr="00EC5942" w:rsidRDefault="00EC5942" w:rsidP="00EC5942">
      <w:p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малоэтажные многоквартирные жилые дома (до 3-х этажей) – 5 %;</w:t>
      </w:r>
    </w:p>
    <w:p w:rsidR="00EC5942" w:rsidRPr="00EC5942" w:rsidRDefault="00EC5942" w:rsidP="00EC5942">
      <w:p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индивидуальные жилые дома и жилые дома блокированного типа – 95 %.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3. Для размещения объектов нового жилищного строительства потребуется порядка </w:t>
      </w:r>
      <w:smartTag w:uri="urn:schemas-microsoft-com:office:smarttags" w:element="metricconverter">
        <w:smartTagPr>
          <w:attr w:name="ProductID" w:val="42,35 га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42,35 га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территории (п. 2 Карта планируемого размещения объектов местного значения поселения, лист 2), в том числе:</w:t>
      </w:r>
    </w:p>
    <w:p w:rsidR="00EC5942" w:rsidRPr="00EC5942" w:rsidRDefault="00EC5942" w:rsidP="00EC5942">
      <w:p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малоэтажные многоквартирные жилые дома (до 3-х этажей) – </w:t>
      </w:r>
      <w:smartTag w:uri="urn:schemas-microsoft-com:office:smarttags" w:element="metricconverter">
        <w:smartTagPr>
          <w:attr w:name="ProductID" w:val="0,55 га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0,55 га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индивидуальные жилые дома и жилые дома блокированного типа – </w:t>
      </w:r>
      <w:smartTag w:uri="urn:schemas-microsoft-com:office:smarttags" w:element="metricconverter">
        <w:smartTagPr>
          <w:attr w:name="ProductID" w:val="41,8 га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41,8 га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В период первой очереди запланировано жилищное строительство в объеме 19,8 тыс. м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площади. К концу периода первой очереди жилищный фонд села с учетом убыли части существующего фонда (5,23 тыс. м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>) вырастет примерно до 90,6994 тыс. м</w:t>
      </w:r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. Средняя жилищная обеспеченность увеличится до 24,5 м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>/чел.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И на расчетный срок и на первую очередь предусмотрено благоустройство районов нового жилищного строительства: озеленение территорий, строительство детских игровых площадок.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 Развитие системы общественных зон. Социальная инфраструктура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капитальный ремонт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и сооружений социальной инфраструктуры,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находящихся в неудовлетворительном техническом состоянии;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дошкольных образовательных учреждений (п. 2 Карта планируемого размещения объектов местного значения поселения, лист 2) (схема территориального планирования муниципального района «Койгородский», утв. постановлением администрации муниципального района «Койгородский» от 28.10.2010 № 31/10).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комплекса зданий полиции (п. 2 Карта планируемого размещения объектов местного значения поселения, лист 2). Административное здание: фундамент бетонный, стены кирпичные размером в плане 35,7х13,0 м, кровля из волнистого асбестоцементного листа. Изолятор временного содержания: фундамент бетонный, стены кирпичные размером в плане 41,0х17,5 м, кровля из волнистого асбестоцементного листа;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спортивного клуба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спортивного комплекса с бассейном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пожарной части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установление территорий объектов культурного наследия и зон их охраны в соответствии с законодательством (п. 4 Карта функциональных зон поселения, лист 2).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 Развитие производственных зон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обрабатывающих произво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л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есной отрасли, что повлечет создание новых рабочих мест;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пищевой промышленности, обновление технологического оборудования, расширение ассортимента выпускаемой продукции;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повышение эффективности предприятий агропромышленного комплекса, строительство, реконструкция, модернизация основных производственных мощностей, организация новых и развитие существующих КФХ, увеличение поголовья скота и доли племенного скота;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котельной на твёрдом топливе (каменный уголь) (п. 2 Карта планируемого размещения объектов местного значения поселения, лист 2) (схема территориального планирования муниципального района «Койгородский», утв. постановлением администрации муниципального района «Койгородский» от 28.10.2010 № 31/10). В связи с размещением объекта требуется установление санитарно-защитной зоны.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типа котельных размер санитарно-защитной зоны устанавливается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 xml:space="preserve">Мероприятия на первую очередь: 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обрабатывающих произво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л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есной отрасли, что повлечет создание новых рабочих мест;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пищевой промышленности, обновление технологического оборудования, расширение ассортимента выпускаемой продукции;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повышение эффективности организаций агропромышленного комплекса, строительство, реконструкция, модернизация основных производственных мощностей, организация новых и развитие существующих КФХ, увеличение поголовья скота и доли племенного скота.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1.2.4 Мероприятия по развитию транспортной инфраструктуры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доведение автомобильной дороги от примыкания к автодороге Визинга –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      ул. Советская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до нормативной эксплуатационной категории к </w:t>
      </w:r>
      <w:smartTag w:uri="urn:schemas-microsoft-com:office:smarttags" w:element="metricconverter">
        <w:smartTagPr>
          <w:attr w:name="ProductID" w:val="2020 г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2020 г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.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доведение автомобильной дороги – подъезда к п. Койдин, до нормативной эксплуатационной категории к </w:t>
      </w:r>
      <w:smartTag w:uri="urn:schemas-microsoft-com:office:smarttags" w:element="metricconverter">
        <w:smartTagPr>
          <w:attr w:name="ProductID" w:val="2020 г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2020 г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. (в границах населенного пункта)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улучшение технико-эксплуатационного состояния и благоустройство улично-дорожной сети с. Койгородок для приведения её в соответствие с действующими нормативами;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 xml:space="preserve">Мероприятия на первую очередь: 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улучшение технико-эксплуатационного состояния и благоустройство улично-дорожной сети с. Койгородок для приведения её в соответствие с действующими нормативами;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и строительство новых лесовозных дорог (п. 2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Карта планируемого размещения объектов местного значения поселения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1)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(схема территориального планирования муниципального района «Койгородский», утв. постановлением администрации муниципального района «Койгородский» от 28.10.2010 № 31/10).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1.2.5 Мероприятия по развитию инженерной инфраструктуры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1.2.5.1 Водоснабжение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капитальный ремонт существующих эксплуатационных скважин;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двух новых скважин с комплексами водоочистных сооружений (п. 2 Карта планируемого размещения объектов местного значения поселения, лист 2). Требуется установление ЗСО в соответствии с действующими нормами;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проектирование и строительство наружных сетей в новых районах жилой застройки (п. 2 Карта планируемого размещения объектов местного значения поселения, лист 2). Требуется организация СЗП согласно действующим нормам;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замена ветхих сетей со сверхнормативным сроком службы;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повышение надежности электроснабжения водозаборов.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замена ветхих и строительство новых сетей водопровода (требуется организация СЗП согласно действующим нормам) (п. 2 Карта планируемого размещения объектов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местного значения поселения, лист 2). Протяженность новых участков </w:t>
      </w:r>
      <w:smartTag w:uri="urn:schemas-microsoft-com:office:smarttags" w:element="metricconverter">
        <w:smartTagPr>
          <w:attr w:name="ProductID" w:val="2575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2575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, диаметр труб 75 – </w:t>
      </w:r>
      <w:smartTag w:uri="urn:schemas-microsoft-com:office:smarttags" w:element="metricconverter">
        <w:smartTagPr>
          <w:attr w:name="ProductID" w:val="140 м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140 мм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, материал труб – полиэтилен;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одной новой скважины с комплексом водоочистных сооружений (п. 2 Карта планируемого размещения объектов местного значения поселения, лист 2). Требуется установление ЗСО в соответствии с действующими нормами;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замена физически изношенных водопроводных вводов в жилые дома;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внедрение измерительных приборов, приборов контроля на водопроводных сетях и приборов учета воды в домах.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1.2.5.2 Водоотведение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перекладка физически изношенных сетей;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очереди КОС (п. 2 Карта планируемого размещения объектов местного значения поселения, лист 2). Требуется установление СЗЗ согласно действующим нормативам;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сетей и сооружений в районах планируемой жилой застройки.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очереди КОС с увеличением производительности до 400 м</w:t>
      </w:r>
      <w:r w:rsidRPr="00EC59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сетей и сооружений в существующих (п. 2 Карта планируемого размещения объектов местного значения поселения, лист 2) и в новых районах жилой застройки. Протяженность участков, отраженных на карте пункта 2, составляет </w:t>
      </w:r>
      <w:smartTag w:uri="urn:schemas-microsoft-com:office:smarttags" w:element="metricconverter">
        <w:smartTagPr>
          <w:attr w:name="ProductID" w:val="2149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2149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, диаметр труб 160 – </w:t>
      </w:r>
      <w:smartTag w:uri="urn:schemas-microsoft-com:office:smarttags" w:element="metricconverter">
        <w:smartTagPr>
          <w:attr w:name="ProductID" w:val="200 м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200 мм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>, материал труб – полиэтилен.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1.2.5.3 Теплоснабжение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поэтапное техническое перевооружение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теплоисточников с использованием современного оборудования с хорошими техническими экологическими свойствами;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применение автономных источников теплоты для индивидуального строительства, работающих на газе;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новых и реконструкция изношенных теплосетей с применением изоляции из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пенополиуретана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(ППУ) или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пенополистирола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для увеличения срока эксплуатации тепловых сетей. Охранные зоны тепловых сетей – </w:t>
      </w:r>
      <w:smartTag w:uri="urn:schemas-microsoft-com:office:smarttags" w:element="metricconverter">
        <w:smartTagPr>
          <w:attr w:name="ProductID" w:val="3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 стороны от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края строительных конструкций тепловых сетей или от наружной поверхности изолированного теплопровода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бесканальной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повсеместное устройство автоматизированных тепловых пунктов учета тепла у потребителей для сокращения потерь тепла.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замена оборудования, отработавшего свой ресурс;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устройство автоматизированных тепловых пунктов учета тепла у потребителей для сокращения потерь тепла;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новых и реконструкция изношенных теплосетей с применением изоляции из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пенополиуретана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(ППУ) или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пенополистирола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для увеличения срока эксплуатации тепловых сетей. Охранные зоны тепловых сетей – </w:t>
      </w:r>
      <w:smartTag w:uri="urn:schemas-microsoft-com:office:smarttags" w:element="metricconverter">
        <w:smartTagPr>
          <w:attr w:name="ProductID" w:val="3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 стороны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бесканальной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котельной на твёрдом топливе (каменный уголь) (п. 2 Карта планируемого размещения объектов местного значения поселения, лист 2) (схема территориального планирования муниципального района «Койгородский», утв. постановлением администрации муниципального района «Койгородский» от 28.10.2010 № 31/10). Требуется установление СЗЗ.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типа котельных размер санитарно-защитной зоны устанавливается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1.2.5.4 Газоснабжение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развитие элементов инфраструктуры газового хозяйства в увязке с дислокацией объектов нового строительства: строительство новых (в районах перспективной застройки) газопроводов, ГРП. Охранные зоны газопроводов низкого давления – согласно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охраны газораспределительных сетей (утверждены постановлением Госгортехнадзора России от 20.11.2000 № 878)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повышение надёжности и качества элементов системы газоснабжения (применение при устройстве подземных газопроводов полиэтиленовых труб с эффективными покрытиями);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перевод потребителей индивидуального строительства на автономные источники тепла (АИТ), работающие на газовом топливе;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обеспечение безопасной эксплуатации (проведение диагностики) подземного газопровода среднего давления и техническое диагностирование ГРП;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квалифицированное решение задачи газораспределения при использовании автоматизированной системы управления технологическими процессами (АСУ ТП);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проведение системы энергосберегающих мер в тепловом хозяйстве для возможности сокращения расхода газа и уменьшения нагрузки на газовые сети.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газопровода-отвода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с. Койгородок с сопутствующими объектами (п. 2 Карта планируемого размещения объектов местного значения поселения, лист 1). Требуется установление охранной зоны газопровода-отвода согласно действующим нормативам;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газопроводов низкого давления, ГРП. Охранные зоны газопроводов низкого давления – согласно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охраны газораспределительных сетей (утверждены постановлением Госгортехнадзора России от 20.11.2000 № 878)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применение при устройстве подземных газопроводов полиэтиленовых труб с эффективными покрытиями;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перевод потребителей в районах индивидуальной жилой застройки на автономные источники тепла (АИТ), работающие на газовом топливе.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1.2.5.5 Электроснабжение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модернизация и замена существующих трансформаторов 10/0,4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, исчерпавших срок службы;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прокладка сетей 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в районах нового строительства. Охранные зоны ЛЭП – </w:t>
      </w:r>
      <w:smartTag w:uri="urn:schemas-microsoft-com:office:smarttags" w:element="metricconverter">
        <w:smartTagPr>
          <w:attr w:name="ProductID" w:val="2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 стороны от крайних проводов при их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неотклоненном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распределительных сетей 10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и 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и трансформаторных подстанций 10/0,4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электроэнергией новых потребителей и реконструкция существующих сетей и подстанций 10/0,4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Охранные зоны ЛЭП: </w:t>
      </w:r>
      <w:smartTag w:uri="urn:schemas-microsoft-com:office:smarttags" w:element="metricconverter">
        <w:smartTagPr>
          <w:attr w:name="ProductID" w:val="10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для 10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обе стороны от крайних проводов при их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неотклоненном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строительство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110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: ПС «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Обьячево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ПС «Койгородок»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ПС «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Мордино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», частично проходящей по территории сельского поселения «Койгородок».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Указанное мероприятие предусматривается в связи с ожидаемым ростом нагрузок, старением (износом) электрических сетей, оборудования на подстанциях и для повышения надежности электроснабжения в Республике Коми в целом (п. 2 Карта планируемого размещения объектов местного значения поселения, лист 1) (схема территориального планирования муниципального района «Койгородский», утв. постановлением администрации муниципального района «Койгородский» от 28.10.2010 № 31/10).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Охранная зона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110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 xml:space="preserve">20 </w:t>
        </w:r>
        <w:proofErr w:type="spellStart"/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стороны от крайних проводов при их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неотклоненном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реконструкция ЛЭП 0,4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проводом СИП-2А, протяженностью </w:t>
      </w:r>
      <w:smartTag w:uri="urn:schemas-microsoft-com:office:smarttags" w:element="metricconverter">
        <w:smartTagPr>
          <w:attr w:name="ProductID" w:val="10 км"/>
        </w:smartTagPr>
        <w:r w:rsidRPr="00EC5942">
          <w:rPr>
            <w:rFonts w:ascii="Times New Roman" w:eastAsia="Times New Roman" w:hAnsi="Times New Roman" w:cs="Times New Roman"/>
            <w:sz w:val="24"/>
            <w:szCs w:val="24"/>
          </w:rPr>
          <w:t>10 км</w:t>
        </w:r>
      </w:smartTag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в с. Койгородок   (п. 2 Карта планируемого размещения объектов местного значения поселения, лист 2) (схема территориального планирования муниципального района «Койгородский», утв. постановлением администрации муниципального района «Койгородский» от 28.10.2010 № 31/10).</w:t>
      </w:r>
      <w:proofErr w:type="gramEnd"/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1.2.5.6 Связь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емкости существующей АТС с заменой оборудования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цифровое;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создание и развитие информационных телекоммуникационных сетей передачи данных;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расширение мультимедийных услуг, предоставляемых населению, включая Интернет;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развитие систем кабельного и спутникового телевидения.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создание и развитие информационных телекоммуникационных сетей передачи данных;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расширение мультимедийных услуг, предоставляемых населению, включая Интернет;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подготовка сети </w:t>
      </w:r>
      <w:r w:rsidRPr="00EC5942">
        <w:rPr>
          <w:rFonts w:ascii="Times New Roman" w:eastAsia="Times New Roman" w:hAnsi="Times New Roman" w:cs="Times New Roman"/>
          <w:sz w:val="24"/>
          <w:szCs w:val="24"/>
          <w:lang w:val="en-US"/>
        </w:rPr>
        <w:t>TV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вещания к переходу к 2015 году на цифровое вещание, а также развитие систем кабельного и спутникового телевидения;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введение в эксплуатацию ВОЛП Визинга – Койгородок – Объячево (п. 2 Карта планируемого размещения объектов местного значения поселения, листы 1, 2).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1.2.6 Мероприятия по развитию малого предпринимательства</w:t>
      </w:r>
    </w:p>
    <w:p w:rsidR="00EC5942" w:rsidRPr="00EC5942" w:rsidRDefault="00EC5942" w:rsidP="00EC5942">
      <w:pPr>
        <w:tabs>
          <w:tab w:val="num" w:pos="1080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942" w:rsidRPr="00EC5942" w:rsidRDefault="00EC5942" w:rsidP="00EC5942">
      <w:pPr>
        <w:tabs>
          <w:tab w:val="num" w:pos="108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Как на первую очередь, так и на расчетный срок предусмотрены </w:t>
      </w: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следующие мероприятия: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оказание административно-организационной и информационной поддержки субъектам малого предпринимательства;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 на рынок;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субъектов малого и среднего предпринимательства путем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занятости населения и развитие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развитие комплексной сети бытового обслуживания;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развитие народно-художественного творчества, популяризация народных ремесел;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развитие пищевой промышленности (развитие малого предпринимательства в производстве хлеба, создание цеха по производству и реализации кулинарной продукции).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На первую очередь предусматриваются мероприятия по предоставлению земельных участков субъектам малого и среднего бизнеса: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строительство КФК;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строительство ЦДО;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спортивный комплекс;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спортивный клуб;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строительство мотеля;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строительства завода по производству топливных брикетов;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 строительство сети торговых точек.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Указанные мероприятия отображены на карте планируемого размещения объектов местного значения поселения.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 xml:space="preserve">1.2.7 </w:t>
      </w:r>
      <w:r w:rsidRPr="00EC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Природно-экологический каркас территории. Система озеленения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сохранение и поддержание естественных пейзажей долины р.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Сысола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, озеленение ручьев-притоков;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сохранение 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участков </w:t>
      </w:r>
      <w:proofErr w:type="spellStart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леса</w:t>
      </w:r>
      <w:proofErr w:type="gramStart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>ходящих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в черту населенного пункта;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обновление зеленых насаждений у школы, детских садов, оздоровительных и административных учреждений;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- озеленение и благоустройство улиц и проездов районов нового строительства;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территорий производственных, санитарных и инженерно-технических объектов.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сохранение и поддержание естественных пейзажей долины реки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Сысола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, озеленение ручьев-притоков;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участков</w:t>
      </w:r>
      <w:proofErr w:type="spellEnd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леса</w:t>
      </w:r>
      <w:proofErr w:type="gramStart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>ходящих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в черту населенного пункта;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обновление зеленых насаждений у школы, детских садов, оздоровительных и административных учреждений;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комплексное благоустройство парка;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озеленение и благоустройство улиц и проездов районов нового строительства;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территорий производственных, санитарных и инженерно-технических объектов.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максимально сохранить естественное для данной территории видовое разнообразие. Для озеленения возможно использование ели, лиственницы, туи,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аронии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березы и др. в соответствии с таблицей Д.2 приложения Д Региональных нормативов градостроительного проектирования для Республики Коми, утв. Приказом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Минархстроя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от 29.01.2008 № 07-ОД.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1.2.8 Мероприятия по охране окружающей среды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iCs/>
          <w:sz w:val="24"/>
          <w:szCs w:val="24"/>
        </w:rPr>
        <w:t>Мероприятия по охране воздушного бассейна</w:t>
      </w: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участков</w:t>
      </w:r>
      <w:proofErr w:type="spellEnd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леса</w:t>
      </w:r>
      <w:proofErr w:type="gramStart"/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>ходящих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в черту населенного пункта;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обновление зеленых насаждений у школы, детских садов, оздоровительных и административных учреждений;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озеленение и благоустройство улиц и проездов районов нового строительства;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территорий производственных, санитарных и инженерно-технических объектов;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поэтапное техническое перевооружение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теплоисточников с использованием современного оборудования с хорошими техническими экологическими свойствами;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установление санитарно-защитных зон промышленных предприятий и объектов в установленном порядке.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iCs/>
          <w:sz w:val="24"/>
          <w:szCs w:val="24"/>
        </w:rPr>
        <w:t>Мероприятия по охране и рациональному использованию водных ресурсов</w:t>
      </w: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реконструкции, увеличение мощности существующих очистных сооружений;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зон реки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Сысола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и ручья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Кузибиха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. Благоустройство и озеленение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зон и прибрежных защитных полос, создание в пределах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зон организованных мест отдыха и оборудованных стоянок автотранспорта с твердым покрытием;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улучшение качества воды в водозаборных скважинах (организация ЗСО, выполнение планов мероприятий по улучшению санитарного состояния на их территории).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iCs/>
          <w:sz w:val="24"/>
          <w:szCs w:val="24"/>
        </w:rPr>
        <w:t>Мероприятия, направленные на снижение негативного воздействия на почвенный покров и совершенствование системы санитарной очистки территории: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сбора и утилизации отходов на территории сельского поселения;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 по восстановлению нарушенных природных ландшафтов в местах отработанных территорий добычи полезных ископаемых и лесозаготовок;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проектно-изыскательских и иных подготовительных работ и строительство полигона ТБО 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>(п. 2 Карта планируемого размещения объектов местного значения поселения, лист 1)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организация СЗЗ.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iCs/>
          <w:sz w:val="24"/>
          <w:szCs w:val="24"/>
        </w:rPr>
        <w:t>Мероприятия, направленные на снижение воздействия физических факторов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Электромагнитное воздействие: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организация постоянного контроля предельно-допустимых уровней ЭМИ от источников электромагнитных излучений.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iCs/>
          <w:sz w:val="24"/>
          <w:szCs w:val="24"/>
        </w:rPr>
        <w:t>Мероприятия по обеспечению радиационной безопасности: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обязательного контроля радиационной обстановки и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радоноопасности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при отводе земельных участков для нового жилищного и гражданского строительства.</w:t>
      </w:r>
    </w:p>
    <w:p w:rsidR="00EC5942" w:rsidRPr="00EC5942" w:rsidRDefault="00EC5942" w:rsidP="00EC5942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целесообразно разбить на этапы выполнения и проводить каждое из них и в первую очередь, и в расчетный срок.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1.2.9 Перечень мероприятий по обеспечению пожарной безопасности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расчетный срок: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размещение новых объектов жилищного фонда, общественно-делового назначения, производственных и иных объектов с соблюдением требований пожарной безопасности;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проезда пожарных автомашин ко всем зданиям, строениям и сооружениям (в том числе обеспечение проезда по ширине улиц);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постепенная ликвидация ветхого и аварийного жилищного фонда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реконструкция и замена его на современные жилые дома, соответствующие противопожарным требованиям;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обеспечение исправности электропроводки и электрооборудования;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оснащение промышленных объектов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системами аварийного контроля и предотвращения пожаров в соответствии с требованиями нормативной документации. Оборудование взрывопожароопасных и пожароопасных зданий и помещений установками автоматического обнаружения и тушения пожаров, а также замена морально устаревших систем пожарной автоматики;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поддержание в готовности противопожарных формирований;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устройство пожарных гидрантов на наружных сетях водоснабжения.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на первую очередь: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размещение новых объектов жилищного фонда, общественно-делового назначения, производственных и иных объектов с соблюдением требований пожарной безопасности;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обеспечение проезда пожарных автомашин ко всем зданиям, строениям и сооружениям (в том числе обеспечение проезда по ширине улиц);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постепенная ликвидация ветхого и аварийного жилищного фонда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реконструкция и замена его на современные жилые дома, соответствующие противопожарным требованиям;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обеспечение исправности электропроводки и электрооборудования;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iCs/>
          <w:sz w:val="24"/>
          <w:szCs w:val="24"/>
        </w:rPr>
        <w:t>оснащение промышленных объектов</w:t>
      </w: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системами аварийного контроля и предотвращения пожаров в соответствии с требованиями нормативной документации. Оборудование взрывопожароопасных и пожароопасных зданий и помещений установками автоматического обнаружения и тушения пожаров, а также замена морально устаревших систем пожарной автоматики;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поддержание в готовности противопожарных формирований;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строительство пожарной части (п. 2 Карта планируемого размещения объектов местного значения поселения, лист 2);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устройство пожарных гидрантов на наружных сетях водоснабжения.</w:t>
      </w: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942" w:rsidRPr="00EC5942" w:rsidRDefault="00EC5942" w:rsidP="00EC594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/>
          <w:sz w:val="24"/>
          <w:szCs w:val="24"/>
        </w:rPr>
        <w:t>1.2.10 Перечень мероприятий по предотвращению чрезвычайных ситуаций природного и техногенного характера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Мероприятия по предотвращению ЧС природного характера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На затапливаемых участках новое строительство предусматривается с проведением инженерной подготовки территории строительства.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Для снижения риска возникновения ОПЯ гидрологического характера генеральным планом, в соответствии с инженерно-строительной оценкой территории, выполненной на основании данных по геологии, гидрогеологии, минерально-сырьевой базы, предложены мероприятия по инженерной подготовке территории, а именно:</w:t>
      </w:r>
    </w:p>
    <w:p w:rsidR="00EC5942" w:rsidRPr="00EC5942" w:rsidRDefault="00EC5942" w:rsidP="00EC5942">
      <w:pPr>
        <w:tabs>
          <w:tab w:val="left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искусственное повышение поверхности территорий;</w:t>
      </w:r>
    </w:p>
    <w:p w:rsidR="00EC5942" w:rsidRPr="00EC5942" w:rsidRDefault="00EC5942" w:rsidP="00EC5942">
      <w:pPr>
        <w:tabs>
          <w:tab w:val="left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береговой полосы,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берегоукрепление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и противооползневые мероприятия;</w:t>
      </w:r>
    </w:p>
    <w:p w:rsidR="00EC5942" w:rsidRPr="00EC5942" w:rsidRDefault="00EC5942" w:rsidP="00EC5942">
      <w:pPr>
        <w:tabs>
          <w:tab w:val="left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устройство дамб обвалования;</w:t>
      </w:r>
    </w:p>
    <w:p w:rsidR="00EC5942" w:rsidRPr="00EC5942" w:rsidRDefault="00EC5942" w:rsidP="00EC5942">
      <w:pPr>
        <w:tabs>
          <w:tab w:val="left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регулирование стока и отвода поверхностных и подземных вод;</w:t>
      </w:r>
    </w:p>
    <w:p w:rsidR="00EC5942" w:rsidRPr="00EC5942" w:rsidRDefault="00EC5942" w:rsidP="00EC5942">
      <w:pPr>
        <w:tabs>
          <w:tab w:val="left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устройство дренажных систем и отдельных дренажей;</w:t>
      </w:r>
    </w:p>
    <w:p w:rsidR="00EC5942" w:rsidRPr="00EC5942" w:rsidRDefault="00EC5942" w:rsidP="00EC5942">
      <w:pPr>
        <w:tabs>
          <w:tab w:val="left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устройство дренажных прорезей для обеспечения гидравлической связи «верховодки» и техногенного горизонта вод с подземными водами нижележащего горизонта;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агролесомелиорация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К основным противоэрозионным мероприятиям следует относить: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закрепление грунтов;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агролесомелиорацию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удерживающие сооружения.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Для смягчения последствий ОПЯ метеорологического характера рекомендуются следующие мероприятия: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При угрозе ураганов, бурь, гроз: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оповещение населения об угрозе возникновения явления;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отключение ЛЭП, обесточивание потребителей во избежание замыканий электрических сетей;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укрепление зданий и сооружений. Укрытие населения в капитальных строениях, подвалах и убежищах. Защита окон с наветренной стороны;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противопаводковых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При угрозе экстремально низких температур воздуха: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теплозащита зданий;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ветрозащита селитебных территорий от преобладающих ветров планировочными методами или с помощью посадки зеленых насаждений;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резервирование котлов в источниках теплоснабжения;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- подключение резервных котлов.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Предотвращение лесных пожаров и борьба с ними осуществляются в соответствии с требованиями федеральных законов: Лесной кодекс от 04.12.2006 № 200-ФЗ (ст. 51-53), «О пожарной безопасности» от 21.12.94 № 69-ФЗ, «Технический регламент о требованиях пожарной безопасности» от 22.07.2008 № 123-ФЗ, «Правила пожарной безопасности в лесах», утв. постановлением Правительства РФ от 30.06.2007 № 417; ГОСТ 22.1.09-99 и других нормативных и правовых документов.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Для предотвращения заражения клещевым энцефалитом необходима реализация комплекса профилактических мер: расчистка от валежника прилегающих к населенному пункту территорий, снос ветхих строений, противоклещевые обработки и др.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Мероприятия по предотвращению ЧС техногенного характера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устойчивости функционирования поселения необходимо выполнение следующих мероприятий: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приведение системы оповещения населения в соответствие требованиям Положения о системах оповещения населения (приказ МЧС РФ № 422);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обеспечение соответствия систем хозяйственно-питьевого водоснабжения требованиям ВСН ВК4-90;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комплекса </w:t>
      </w:r>
      <w:proofErr w:type="spellStart"/>
      <w:r w:rsidRPr="00EC5942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на расчетное количество населения;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по предотвращению лесных пожаров и противопожарному обустройству лесного фонда (создание минерализованных полос, проведение опашки, соблюдение нормативных расстояний от жилой застройки до лесных массивов);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приведение в соответствие противопожарных водоемов и подъездов к ним;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инженерно-технические мероприятия по оборудованию территории села специальными сооружениями (в том числе защитными сооружениями гражданской обороны – ПРУ, противопожарными и т.д.) для устойчивого функционирования села и на случай ЧС (подробнее см. раздел ИТМ ГОЧС генерального плана СП «Койгородок»);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организация взаимодействия сил и средств, обеспечивающих ликвидацию чрезвычайных ситуаций;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обеспечению устойчивого функционирования объектов экономики и жизнеобеспечения людей.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На трубопроводном транспорте: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систематический визуальный контроль местности, по которой проложены газопроводы;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lastRenderedPageBreak/>
        <w:t>- своевременный вывод из эксплуатации газопроводов в силу их изношенности.</w:t>
      </w:r>
    </w:p>
    <w:p w:rsidR="00EC5942" w:rsidRPr="00EC5942" w:rsidRDefault="00EC5942" w:rsidP="00EC594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i/>
          <w:sz w:val="24"/>
          <w:szCs w:val="24"/>
        </w:rPr>
        <w:t>На автомобильном транспорте: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EC59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5942">
        <w:rPr>
          <w:rFonts w:ascii="Times New Roman" w:eastAsia="Times New Roman" w:hAnsi="Times New Roman" w:cs="Times New Roman"/>
          <w:sz w:val="24"/>
          <w:szCs w:val="24"/>
        </w:rPr>
        <w:t xml:space="preserve"> состоянием автомобильных дорог, техническим состоянием автомобилей;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своевременный ремонт автомобилей и автомобильных дорог;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42">
        <w:rPr>
          <w:rFonts w:ascii="Times New Roman" w:eastAsia="Times New Roman" w:hAnsi="Times New Roman" w:cs="Times New Roman"/>
          <w:sz w:val="24"/>
          <w:szCs w:val="24"/>
        </w:rPr>
        <w:t>- соблюдение правил эксплуатации автомобилей.</w:t>
      </w:r>
    </w:p>
    <w:p w:rsidR="00EC5942" w:rsidRPr="00EC5942" w:rsidRDefault="00EC5942" w:rsidP="00EC5942">
      <w:pPr>
        <w:tabs>
          <w:tab w:val="num" w:pos="960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741"/>
    <w:multiLevelType w:val="multilevel"/>
    <w:tmpl w:val="9732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8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5E35C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EC5942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4751</Words>
  <Characters>27083</Characters>
  <Application>Microsoft Office Word</Application>
  <DocSecurity>0</DocSecurity>
  <Lines>225</Lines>
  <Paragraphs>63</Paragraphs>
  <ScaleCrop>false</ScaleCrop>
  <Company>Microsoft</Company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2017-01-16T11:28:00Z</dcterms:created>
  <dcterms:modified xsi:type="dcterms:W3CDTF">2017-01-16T11:29:00Z</dcterms:modified>
</cp:coreProperties>
</file>