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ind/>
        <w:jc w:val="right"/>
      </w:pPr>
      <w:r>
        <w:rPr>
          <w:sz w:val="28"/>
        </w:rPr>
        <w:t>Приложение №1</w:t>
      </w:r>
    </w:p>
    <w:p w14:paraId="02000000">
      <w:pPr>
        <w:ind/>
        <w:jc w:val="right"/>
      </w:pPr>
    </w:p>
    <w:p w14:paraId="03000000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Статьей 4 </w:t>
      </w:r>
      <w:r>
        <w:rPr>
          <w:rFonts w:ascii="Times New Roman" w:hAnsi="Times New Roman"/>
          <w:b w:val="1"/>
          <w:sz w:val="24"/>
        </w:rPr>
        <w:t>Т</w:t>
      </w:r>
      <w:r>
        <w:rPr>
          <w:rFonts w:ascii="Times New Roman" w:hAnsi="Times New Roman"/>
          <w:b w:val="1"/>
          <w:sz w:val="24"/>
        </w:rPr>
        <w:t>ехническог</w:t>
      </w:r>
      <w:r>
        <w:rPr>
          <w:rFonts w:ascii="Times New Roman" w:hAnsi="Times New Roman"/>
          <w:b w:val="1"/>
          <w:sz w:val="24"/>
        </w:rPr>
        <w:t>о регламента Таможенного союза «</w:t>
      </w:r>
      <w:r>
        <w:rPr>
          <w:rFonts w:ascii="Times New Roman" w:hAnsi="Times New Roman"/>
          <w:b w:val="1"/>
          <w:sz w:val="24"/>
        </w:rPr>
        <w:t>О безоп</w:t>
      </w:r>
      <w:r>
        <w:rPr>
          <w:rFonts w:ascii="Times New Roman" w:hAnsi="Times New Roman"/>
          <w:b w:val="1"/>
          <w:sz w:val="24"/>
        </w:rPr>
        <w:t>асности пиротехнических изделий»</w:t>
      </w:r>
      <w:r>
        <w:rPr>
          <w:rFonts w:ascii="Times New Roman" w:hAnsi="Times New Roman"/>
          <w:b w:val="1"/>
          <w:sz w:val="24"/>
        </w:rPr>
        <w:t>, утвержденн</w:t>
      </w:r>
      <w:r>
        <w:rPr>
          <w:rFonts w:ascii="Times New Roman" w:hAnsi="Times New Roman"/>
          <w:b w:val="1"/>
          <w:sz w:val="24"/>
        </w:rPr>
        <w:t>ого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решением Комиссии Таможенного союза от 16.09.2011 № 770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установлены </w:t>
      </w:r>
      <w:r>
        <w:rPr>
          <w:rFonts w:ascii="Times New Roman" w:hAnsi="Times New Roman"/>
          <w:sz w:val="24"/>
        </w:rPr>
        <w:t>т</w:t>
      </w:r>
      <w:r>
        <w:rPr>
          <w:rFonts w:ascii="Times New Roman" w:hAnsi="Times New Roman"/>
          <w:sz w:val="24"/>
        </w:rPr>
        <w:t>ребования безопасности к пиротехническим изделиям</w:t>
      </w:r>
      <w:r>
        <w:rPr>
          <w:rFonts w:ascii="Times New Roman" w:hAnsi="Times New Roman"/>
          <w:sz w:val="24"/>
        </w:rPr>
        <w:t>.</w:t>
      </w:r>
    </w:p>
    <w:p w14:paraId="04000000">
      <w:pPr>
        <w:ind w:firstLine="709"/>
        <w:jc w:val="both"/>
      </w:pPr>
      <w:r>
        <w:rPr>
          <w:rFonts w:ascii="Times New Roman" w:hAnsi="Times New Roman"/>
          <w:sz w:val="24"/>
        </w:rPr>
        <w:t>Пиротехнические изделия должны обеспечивать максимально допустимый уровень безопасности, в том числе:</w:t>
      </w:r>
    </w:p>
    <w:p w14:paraId="05000000">
      <w:pPr>
        <w:ind w:firstLine="709"/>
        <w:jc w:val="both"/>
      </w:pPr>
      <w:r>
        <w:rPr>
          <w:rFonts w:ascii="Times New Roman" w:hAnsi="Times New Roman"/>
          <w:sz w:val="24"/>
        </w:rPr>
        <w:t>пиротехнические изделия I - IV классов при задействовании от встроенного узла запуска или внешнего стандартного электродетонатора (типа ЭД-8) не должны детонировать, а случайное срабатывание изделия не должно приводить к аномальной работе (изменению номенклатуры опасных факторов и радиуса опасной зоны) расположенного в непосредственной близости (в упаковке) от него такого же изделия;</w:t>
      </w:r>
    </w:p>
    <w:p w14:paraId="06000000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пиротехнические изделия для проведения групповых игр и развития технического творчества (маркирующие, сигнальные, </w:t>
      </w:r>
      <w:r>
        <w:rPr>
          <w:rFonts w:ascii="Times New Roman" w:hAnsi="Times New Roman"/>
          <w:sz w:val="24"/>
        </w:rPr>
        <w:t>целеуказательные</w:t>
      </w:r>
      <w:r>
        <w:rPr>
          <w:rFonts w:ascii="Times New Roman" w:hAnsi="Times New Roman"/>
          <w:sz w:val="24"/>
        </w:rPr>
        <w:t xml:space="preserve"> гранаты, ракеты, мины, микродвигатели, инициирующие и метательные устройства):</w:t>
      </w:r>
    </w:p>
    <w:p w14:paraId="07000000">
      <w:pPr>
        <w:numPr>
          <w:numId w:val="1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 должны иметь опасность выше IV класса;</w:t>
      </w:r>
    </w:p>
    <w:p w14:paraId="08000000">
      <w:pPr>
        <w:numPr>
          <w:numId w:val="1"/>
        </w:numPr>
        <w:ind/>
        <w:jc w:val="both"/>
      </w:pPr>
      <w:r>
        <w:rPr>
          <w:rFonts w:ascii="Times New Roman" w:hAnsi="Times New Roman"/>
          <w:sz w:val="24"/>
        </w:rPr>
        <w:t>должны иметь эксплуатационную документацию, содержащую специальную информацию, в том числе перечень необходимых защитных средств потребителей, характеристики направленности и дальности полета, ограничения по условиям эксплуатации (видимость, скорость ветра, сила отдачи, характер поверхности, на которой должны эксплуатироваться данные изделия), а также предупреждение о недопустимости их эксплуатации вне специально оборудованного игрового поля (площадки) и без надзора инструктора;</w:t>
      </w:r>
    </w:p>
    <w:p w14:paraId="09000000">
      <w:pPr>
        <w:ind/>
        <w:jc w:val="both"/>
      </w:pPr>
    </w:p>
    <w:p w14:paraId="0A000000">
      <w:pPr>
        <w:ind w:firstLine="709"/>
        <w:jc w:val="both"/>
      </w:pPr>
      <w:r>
        <w:rPr>
          <w:rFonts w:ascii="Times New Roman" w:hAnsi="Times New Roman"/>
          <w:sz w:val="24"/>
        </w:rPr>
        <w:t>не допускается использование электрических систем инициирования в изделиях I класса;</w:t>
      </w:r>
    </w:p>
    <w:p w14:paraId="0B000000">
      <w:pPr>
        <w:ind w:firstLine="709"/>
        <w:jc w:val="both"/>
      </w:pPr>
    </w:p>
    <w:p w14:paraId="0C000000">
      <w:pPr>
        <w:ind w:firstLine="0" w:left="-567"/>
        <w:jc w:val="center"/>
      </w:pPr>
      <w:r>
        <w:drawing>
          <wp:inline>
            <wp:extent cx="6819899" cy="3581398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rot="0">
                      <a:ext cx="6819899" cy="358139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D000000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эксплуатационная документация на фейерверочные изделия должна содержать следующую дополнительную специальную информацию:</w:t>
      </w:r>
    </w:p>
    <w:p w14:paraId="0E000000">
      <w:pPr>
        <w:numPr>
          <w:numId w:val="2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значение максимального давления, создаваемого в мортире (иных силовых воздействий на пусковое оборудование);</w:t>
      </w:r>
    </w:p>
    <w:p w14:paraId="0F000000">
      <w:pPr>
        <w:numPr>
          <w:numId w:val="2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описание производимых эффектов;</w:t>
      </w:r>
    </w:p>
    <w:p w14:paraId="10000000">
      <w:pPr>
        <w:numPr>
          <w:numId w:val="2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указание высоты разрыва (подъема);</w:t>
      </w:r>
    </w:p>
    <w:p w14:paraId="11000000">
      <w:pPr>
        <w:numPr>
          <w:numId w:val="2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указание возможной высоты догорания </w:t>
      </w:r>
      <w:r>
        <w:rPr>
          <w:rFonts w:ascii="Times New Roman" w:hAnsi="Times New Roman"/>
          <w:sz w:val="24"/>
        </w:rPr>
        <w:t>пироэлементов</w:t>
      </w:r>
      <w:r>
        <w:rPr>
          <w:rFonts w:ascii="Times New Roman" w:hAnsi="Times New Roman"/>
          <w:sz w:val="24"/>
        </w:rPr>
        <w:t>;</w:t>
      </w:r>
    </w:p>
    <w:p w14:paraId="12000000">
      <w:pPr>
        <w:numPr>
          <w:numId w:val="2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радиус опасной зоны в зависимости от скорости ветра;</w:t>
      </w:r>
    </w:p>
    <w:p w14:paraId="13000000">
      <w:pPr>
        <w:numPr>
          <w:numId w:val="2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время замедления (для изделий с огнепроводным элементом);</w:t>
      </w:r>
    </w:p>
    <w:p w14:paraId="14000000">
      <w:pPr>
        <w:numPr>
          <w:numId w:val="2"/>
        </w:numPr>
        <w:ind/>
        <w:jc w:val="both"/>
      </w:pPr>
      <w:r>
        <w:rPr>
          <w:rFonts w:ascii="Times New Roman" w:hAnsi="Times New Roman"/>
          <w:sz w:val="24"/>
        </w:rPr>
        <w:t>рекомендуемые размеры (диаметр, длина рабочей части) мортиры;</w:t>
      </w:r>
    </w:p>
    <w:p w14:paraId="15000000">
      <w:pPr>
        <w:ind w:firstLine="709"/>
        <w:jc w:val="both"/>
      </w:pPr>
    </w:p>
    <w:p w14:paraId="16000000">
      <w:pPr>
        <w:ind w:firstLine="0" w:left="-567"/>
        <w:jc w:val="center"/>
      </w:pPr>
      <w:r>
        <w:drawing>
          <wp:inline>
            <wp:extent cx="6896099" cy="3629023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2" r:link=""/>
                    <a:stretch/>
                  </pic:blipFill>
                  <pic:spPr>
                    <a:xfrm rot="0">
                      <a:ext cx="6896099" cy="362902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7000000">
      <w:pPr>
        <w:ind w:firstLine="0" w:left="-567"/>
        <w:jc w:val="center"/>
      </w:pPr>
    </w:p>
    <w:p w14:paraId="18000000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пиротехнических изделий определяются опасные факторы на всех этапах обращения с ними с учетом:</w:t>
      </w:r>
    </w:p>
    <w:p w14:paraId="19000000">
      <w:pPr>
        <w:numPr>
          <w:numId w:val="3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свойств используемых пиротехнических составов;</w:t>
      </w:r>
    </w:p>
    <w:p w14:paraId="1A000000">
      <w:pPr>
        <w:numPr>
          <w:numId w:val="3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чувствительности пиротехнических изделий к воздействию внешних факторов;</w:t>
      </w:r>
    </w:p>
    <w:p w14:paraId="1B000000">
      <w:pPr>
        <w:numPr>
          <w:numId w:val="3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особенностей конструкции пиротехнического изделия и его упаковки;</w:t>
      </w:r>
    </w:p>
    <w:p w14:paraId="1C000000">
      <w:pPr>
        <w:numPr>
          <w:numId w:val="3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способов и условий эксплуатации пиротехнических изделий;</w:t>
      </w:r>
    </w:p>
    <w:p w14:paraId="1D000000">
      <w:pPr>
        <w:numPr>
          <w:numId w:val="3"/>
        </w:numPr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способов и методов утилизации пиротехнических изделий;</w:t>
      </w:r>
    </w:p>
    <w:p w14:paraId="1E000000">
      <w:pPr>
        <w:ind/>
        <w:jc w:val="both"/>
        <w:rPr>
          <w:rFonts w:ascii="Times New Roman" w:hAnsi="Times New Roman"/>
          <w:sz w:val="24"/>
        </w:rPr>
      </w:pPr>
    </w:p>
    <w:p w14:paraId="1F000000">
      <w:pPr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время замедления до начала работы пиротехнического изделия бытового назначения, создающего эффект на высоте, должно быть достаточным для удаления потребителя на расстояние, указанное в инструкции по применению;</w:t>
      </w:r>
    </w:p>
    <w:p w14:paraId="20000000">
      <w:pPr>
        <w:ind w:firstLine="0" w:left="-567"/>
        <w:jc w:val="center"/>
      </w:pPr>
    </w:p>
    <w:p w14:paraId="21000000">
      <w:pPr>
        <w:ind w:firstLine="0" w:left="-567"/>
        <w:jc w:val="both"/>
      </w:pPr>
    </w:p>
    <w:sectPr>
      <w:pgSz w:h="16838" w:w="11906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9" Target="numbering.xml" Type="http://schemas.openxmlformats.org/officeDocument/2006/relationships/numbering"/>
  <Relationship Id="rId8" Target="theme/theme1.xml" Type="http://schemas.openxmlformats.org/officeDocument/2006/relationships/theme"/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MyOffice-CoreFramework-Linux/20.10-808.335.4340.442.1@RELEASE-DESKTOP-QQRUZA-RC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2022-12-19T12:08:21Z</dcterms:modified>
</cp:coreProperties>
</file>